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5"/>
        <w:rPr>
          <w:sz w:val="20"/>
        </w:rPr>
      </w:pPr>
      <w:r>
        <w:rPr>
          <w:sz w:val="20"/>
        </w:rPr>
        <w:drawing>
          <wp:inline distT="0" distB="0" distL="0" distR="0">
            <wp:extent cx="927893" cy="7429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159" w:right="510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> </w:t>
      </w:r>
      <w:r>
        <w:rPr>
          <w:rFonts w:ascii="Arial" w:hAnsi="Arial"/>
          <w:b/>
          <w:spacing w:val="-2"/>
          <w:sz w:val="27"/>
        </w:rPr>
        <w:t>Caicó</w:t>
      </w:r>
    </w:p>
    <w:p>
      <w:pPr>
        <w:pStyle w:val="BodyText"/>
        <w:spacing w:before="138"/>
        <w:ind w:left="2307"/>
      </w:pPr>
      <w:r>
        <w:rPr/>
        <w:t>R.</w:t>
      </w:r>
      <w:r>
        <w:rPr>
          <w:spacing w:val="-2"/>
        </w:rPr>
        <w:t> </w:t>
      </w:r>
      <w:r>
        <w:rPr/>
        <w:t>Felipe</w:t>
      </w:r>
      <w:r>
        <w:rPr>
          <w:spacing w:val="-5"/>
        </w:rPr>
        <w:t> </w:t>
      </w:r>
      <w:r>
        <w:rPr/>
        <w:t>Guerra,</w:t>
      </w:r>
      <w:r>
        <w:rPr>
          <w:spacing w:val="-5"/>
        </w:rPr>
        <w:t> </w:t>
      </w:r>
      <w:r>
        <w:rPr/>
        <w:t>157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CEP:</w:t>
      </w:r>
      <w:r>
        <w:rPr>
          <w:spacing w:val="-6"/>
        </w:rPr>
        <w:t> </w:t>
      </w:r>
      <w:r>
        <w:rPr/>
        <w:t>59300-000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Caicó\RN</w:t>
      </w:r>
    </w:p>
    <w:p>
      <w:pPr>
        <w:pStyle w:val="BodyText"/>
        <w:spacing w:before="162"/>
        <w:ind w:right="329"/>
        <w:jc w:val="center"/>
      </w:pPr>
      <w:r>
        <w:rPr/>
        <w:t>CNPJ:</w:t>
      </w:r>
      <w:r>
        <w:rPr>
          <w:spacing w:val="-8"/>
        </w:rPr>
        <w:t> </w:t>
      </w:r>
      <w:r>
        <w:rPr/>
        <w:t>08.385.940/0001-58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Tel:</w:t>
      </w:r>
      <w:r>
        <w:rPr>
          <w:spacing w:val="-6"/>
        </w:rPr>
        <w:t> </w:t>
      </w:r>
      <w:r>
        <w:rPr/>
        <w:t>(84)</w:t>
      </w:r>
      <w:r>
        <w:rPr>
          <w:spacing w:val="-6"/>
        </w:rPr>
        <w:t> </w:t>
      </w:r>
      <w:r>
        <w:rPr/>
        <w:t>3421-4869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Site:</w:t>
      </w:r>
      <w:r>
        <w:rPr>
          <w:spacing w:val="-5"/>
        </w:rPr>
        <w:t> </w:t>
      </w:r>
      <w:hyperlink r:id="rId7">
        <w:r>
          <w:rPr>
            <w:spacing w:val="-2"/>
          </w:rPr>
          <w:t>www.caico.rn.leg.br.sistemas.assesi.com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159" w:right="183" w:firstLine="0"/>
        <w:jc w:val="center"/>
        <w:rPr>
          <w:rFonts w:ascii="Arial" w:hAnsi="Arial"/>
          <w:sz w:val="28"/>
        </w:rPr>
      </w:pPr>
      <w:r>
        <w:rPr>
          <w:rFonts w:ascii="Arial" w:hAnsi="Arial"/>
          <w:color w:val="3E3D50"/>
          <w:sz w:val="24"/>
        </w:rPr>
        <w:t>Declaramos</w:t>
      </w:r>
      <w:r>
        <w:rPr>
          <w:rFonts w:ascii="Arial" w:hAnsi="Arial"/>
          <w:color w:val="3E3D50"/>
          <w:spacing w:val="-7"/>
          <w:sz w:val="24"/>
        </w:rPr>
        <w:t> </w:t>
      </w:r>
      <w:r>
        <w:rPr>
          <w:rFonts w:ascii="Arial" w:hAnsi="Arial"/>
          <w:color w:val="3E3D50"/>
          <w:sz w:val="24"/>
        </w:rPr>
        <w:t>para</w:t>
      </w:r>
      <w:r>
        <w:rPr>
          <w:rFonts w:ascii="Arial" w:hAnsi="Arial"/>
          <w:color w:val="3E3D50"/>
          <w:spacing w:val="-4"/>
          <w:sz w:val="24"/>
        </w:rPr>
        <w:t> </w:t>
      </w:r>
      <w:r>
        <w:rPr>
          <w:rFonts w:ascii="Arial" w:hAnsi="Arial"/>
          <w:color w:val="3E3D50"/>
          <w:sz w:val="24"/>
        </w:rPr>
        <w:t>todos</w:t>
      </w:r>
      <w:r>
        <w:rPr>
          <w:rFonts w:ascii="Arial" w:hAnsi="Arial"/>
          <w:color w:val="3E3D50"/>
          <w:spacing w:val="-4"/>
          <w:sz w:val="24"/>
        </w:rPr>
        <w:t> </w:t>
      </w:r>
      <w:r>
        <w:rPr>
          <w:rFonts w:ascii="Arial" w:hAnsi="Arial"/>
          <w:color w:val="3E3D50"/>
          <w:sz w:val="24"/>
        </w:rPr>
        <w:t>os</w:t>
      </w:r>
      <w:r>
        <w:rPr>
          <w:rFonts w:ascii="Arial" w:hAnsi="Arial"/>
          <w:color w:val="3E3D50"/>
          <w:spacing w:val="-6"/>
          <w:sz w:val="24"/>
        </w:rPr>
        <w:t> </w:t>
      </w:r>
      <w:r>
        <w:rPr>
          <w:rFonts w:ascii="Arial" w:hAnsi="Arial"/>
          <w:color w:val="3E3D50"/>
          <w:sz w:val="24"/>
        </w:rPr>
        <w:t>fins</w:t>
      </w:r>
      <w:r>
        <w:rPr>
          <w:rFonts w:ascii="Arial" w:hAnsi="Arial"/>
          <w:color w:val="3E3D50"/>
          <w:spacing w:val="-2"/>
          <w:sz w:val="24"/>
        </w:rPr>
        <w:t> </w:t>
      </w:r>
      <w:r>
        <w:rPr>
          <w:rFonts w:ascii="Arial" w:hAnsi="Arial"/>
          <w:color w:val="3E3D50"/>
          <w:sz w:val="24"/>
        </w:rPr>
        <w:t>que</w:t>
      </w:r>
      <w:r>
        <w:rPr>
          <w:rFonts w:ascii="Arial" w:hAnsi="Arial"/>
          <w:color w:val="3E3D50"/>
          <w:spacing w:val="-3"/>
          <w:sz w:val="24"/>
        </w:rPr>
        <w:t> </w:t>
      </w:r>
      <w:r>
        <w:rPr>
          <w:rFonts w:ascii="Arial" w:hAnsi="Arial"/>
          <w:color w:val="333333"/>
          <w:sz w:val="24"/>
        </w:rPr>
        <w:t>Estamos</w:t>
      </w:r>
      <w:r>
        <w:rPr>
          <w:rFonts w:ascii="Arial" w:hAnsi="Arial"/>
          <w:color w:val="333333"/>
          <w:spacing w:val="-6"/>
          <w:sz w:val="24"/>
        </w:rPr>
        <w:t> </w:t>
      </w:r>
      <w:r>
        <w:rPr>
          <w:rFonts w:ascii="Arial" w:hAnsi="Arial"/>
          <w:color w:val="333333"/>
          <w:sz w:val="24"/>
        </w:rPr>
        <w:t>aguardando</w:t>
      </w:r>
      <w:r>
        <w:rPr>
          <w:rFonts w:ascii="Arial" w:hAnsi="Arial"/>
          <w:color w:val="333333"/>
          <w:spacing w:val="-6"/>
          <w:sz w:val="24"/>
        </w:rPr>
        <w:t> </w:t>
      </w:r>
      <w:r>
        <w:rPr>
          <w:rFonts w:ascii="Arial" w:hAnsi="Arial"/>
          <w:color w:val="333333"/>
          <w:sz w:val="24"/>
        </w:rPr>
        <w:t>o</w:t>
      </w:r>
      <w:r>
        <w:rPr>
          <w:rFonts w:ascii="Arial" w:hAnsi="Arial"/>
          <w:color w:val="333333"/>
          <w:spacing w:val="-4"/>
          <w:sz w:val="24"/>
        </w:rPr>
        <w:t> </w:t>
      </w:r>
      <w:r>
        <w:rPr>
          <w:rFonts w:ascii="Arial" w:hAnsi="Arial"/>
          <w:color w:val="333333"/>
          <w:sz w:val="24"/>
        </w:rPr>
        <w:t>Parecer/Julgamento do TCE/RN das Contas do Poder Executivo referente ao exercício 2020 para subsidiar a apreciação desta Casa Legislativa.</w:t>
      </w:r>
      <w:r>
        <w:rPr>
          <w:rFonts w:ascii="Arial" w:hAnsi="Arial"/>
          <w:color w:val="333333"/>
          <w:sz w:val="28"/>
        </w:rPr>
        <w:t>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81"/>
        <w:rPr>
          <w:rFonts w:ascii="Arial"/>
          <w:sz w:val="24"/>
        </w:rPr>
      </w:pPr>
    </w:p>
    <w:p>
      <w:pPr>
        <w:pStyle w:val="Title"/>
      </w:pPr>
      <w:r>
        <w:rPr/>
        <w:t>CAICO/RN,</w:t>
      </w:r>
      <w:r>
        <w:rPr>
          <w:spacing w:val="-8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2020</w:t>
      </w:r>
    </w:p>
    <w:sectPr>
      <w:footerReference w:type="default" r:id="rId5"/>
      <w:type w:val="continuous"/>
      <w:pgSz w:w="12240" w:h="15840"/>
      <w:pgMar w:header="0" w:footer="2518" w:top="500" w:bottom="2700" w:left="180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279908</wp:posOffset>
              </wp:positionH>
              <wp:positionV relativeFrom="page">
                <wp:posOffset>8320064</wp:posOffset>
              </wp:positionV>
              <wp:extent cx="237109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10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Felipe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Guerra,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157 -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59300-000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040001pt;margin-top:655.123169pt;width:186.7pt;height:10.4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Felipe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Guerra,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157 -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59300-000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279908</wp:posOffset>
              </wp:positionH>
              <wp:positionV relativeFrom="page">
                <wp:posOffset>8608100</wp:posOffset>
              </wp:positionV>
              <wp:extent cx="15932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040001pt;margin-top:677.803162pt;width:125.45pt;height:10.4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6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ico.rn.leg.br.sistemas.asses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Câmara de Caicó - pesquisasatisfacao</dc:title>
  <dcterms:created xsi:type="dcterms:W3CDTF">2025-09-22T16:37:55Z</dcterms:created>
  <dcterms:modified xsi:type="dcterms:W3CDTF">2025-09-22T16:37:55Z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