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6" w:right="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left="28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line="240" w:lineRule="auto" w:before="0"/>
        <w:ind w:left="381" w:right="41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8"/>
        </w:rPr>
        <w:t>Declaramos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E3D50"/>
          <w:sz w:val="28"/>
        </w:rPr>
        <w:t>para</w:t>
      </w:r>
      <w:r>
        <w:rPr>
          <w:rFonts w:ascii="Arial" w:hAnsi="Arial"/>
          <w:color w:val="3E3D50"/>
          <w:spacing w:val="-6"/>
          <w:sz w:val="28"/>
        </w:rPr>
        <w:t> </w:t>
      </w:r>
      <w:r>
        <w:rPr>
          <w:rFonts w:ascii="Arial" w:hAnsi="Arial"/>
          <w:color w:val="3E3D50"/>
          <w:sz w:val="28"/>
        </w:rPr>
        <w:t>todos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fins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que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esta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Casa</w:t>
      </w:r>
      <w:r>
        <w:rPr>
          <w:rFonts w:ascii="Arial" w:hAnsi="Arial"/>
          <w:color w:val="333333"/>
          <w:spacing w:val="-6"/>
          <w:sz w:val="28"/>
        </w:rPr>
        <w:t> </w:t>
      </w:r>
      <w:r>
        <w:rPr>
          <w:rFonts w:ascii="Arial" w:hAnsi="Arial"/>
          <w:color w:val="333333"/>
          <w:sz w:val="28"/>
        </w:rPr>
        <w:t>Legislativa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ainda não recebeu o resultado da apreciação e/ou julgamento das contas pelo Tribunal de Contas – TCE do exercício 2021.</w:t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87"/>
        <w:rPr>
          <w:rFonts w:ascii="Arial"/>
          <w:sz w:val="28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2021</w:t>
      </w:r>
    </w:p>
    <w:sectPr>
      <w:footerReference w:type="default" r:id="rId5"/>
      <w:type w:val="continuous"/>
      <w:pgSz w:w="12240" w:h="15840"/>
      <w:pgMar w:header="0" w:footer="2424" w:top="500" w:bottom="262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8379500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9.803162pt;width:186.7pt;height:10.4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279908</wp:posOffset>
              </wp:positionH>
              <wp:positionV relativeFrom="page">
                <wp:posOffset>8667536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82.483154pt;width:125.45pt;height:10.4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2" w:right="41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2025-09-22T15:42:47Z</dcterms:created>
  <dcterms:modified xsi:type="dcterms:W3CDTF">2025-09-22T15:42:47Z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